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62" w:rsidRDefault="00DA4562" w:rsidP="00DA4562">
      <w:pPr>
        <w:pStyle w:val="ConsPlusNormal"/>
      </w:pPr>
      <w:bookmarkStart w:id="0" w:name="_GoBack"/>
      <w:bookmarkEnd w:id="0"/>
    </w:p>
    <w:p w:rsidR="00D96E1B" w:rsidRDefault="00DA4562">
      <w:pPr>
        <w:pStyle w:val="ConsPlusNormal"/>
        <w:jc w:val="center"/>
      </w:pPr>
      <w:r>
        <w:t>Договор</w:t>
      </w:r>
    </w:p>
    <w:p w:rsidR="00D96E1B" w:rsidRDefault="00DA4562">
      <w:pPr>
        <w:pStyle w:val="ConsPlusNormal"/>
        <w:jc w:val="center"/>
      </w:pPr>
      <w:r>
        <w:t>строительного подряда, денежные средства в счет уплаты</w:t>
      </w:r>
    </w:p>
    <w:p w:rsidR="00D96E1B" w:rsidRDefault="00DA4562">
      <w:pPr>
        <w:pStyle w:val="ConsPlusNormal"/>
        <w:jc w:val="center"/>
      </w:pPr>
      <w:r>
        <w:t>цены которого размещаются заказчиками на счетах эскроу</w:t>
      </w:r>
    </w:p>
    <w:p w:rsidR="00D96E1B" w:rsidRDefault="00DA4562">
      <w:pPr>
        <w:pStyle w:val="ConsPlusNormal"/>
        <w:jc w:val="center"/>
      </w:pPr>
      <w:r>
        <w:t>в соответствии с Федеральным законом от 22 июля 2024 г.</w:t>
      </w:r>
    </w:p>
    <w:p w:rsidR="00D96E1B" w:rsidRDefault="00DA4562">
      <w:pPr>
        <w:pStyle w:val="ConsPlusNormal"/>
        <w:jc w:val="center"/>
      </w:pPr>
      <w:r>
        <w:t>N 186-ФЗ "О строительстве жилых домов по договорам</w:t>
      </w:r>
    </w:p>
    <w:p w:rsidR="00D96E1B" w:rsidRDefault="00DA4562">
      <w:pPr>
        <w:pStyle w:val="ConsPlusNormal"/>
        <w:jc w:val="center"/>
      </w:pPr>
      <w:r>
        <w:t>строительного подряда с использованием счетов эскроу"</w:t>
      </w:r>
    </w:p>
    <w:p w:rsidR="00D96E1B" w:rsidRDefault="00D96E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3628"/>
        <w:gridCol w:w="2721"/>
      </w:tblGrid>
      <w:tr w:rsidR="00D96E1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Город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  <w:jc w:val="right"/>
            </w:pPr>
            <w:r>
              <w:t>"__" _________ 20__ г.</w:t>
            </w:r>
          </w:p>
        </w:tc>
      </w:tr>
    </w:tbl>
    <w:p w:rsidR="00D96E1B" w:rsidRDefault="00D96E1B">
      <w:pPr>
        <w:pStyle w:val="ConsPlusNormal"/>
        <w:jc w:val="both"/>
      </w:pPr>
    </w:p>
    <w:p w:rsidR="00D96E1B" w:rsidRDefault="00DA4562">
      <w:pPr>
        <w:pStyle w:val="ConsPlusNonformat"/>
        <w:jc w:val="both"/>
      </w:pPr>
      <w:r>
        <w:t>Гражданин (гражданка) Российской Федерации _______________________________,</w:t>
      </w:r>
    </w:p>
    <w:p w:rsidR="00D96E1B" w:rsidRDefault="00DA4562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D96E1B" w:rsidRDefault="00DA4562">
      <w:pPr>
        <w:pStyle w:val="ConsPlusNonformat"/>
        <w:jc w:val="both"/>
      </w:pPr>
      <w:r>
        <w:t xml:space="preserve">                                                    (при наличии)</w:t>
      </w:r>
    </w:p>
    <w:p w:rsidR="00D96E1B" w:rsidRDefault="00DA4562">
      <w:pPr>
        <w:pStyle w:val="ConsPlusNonformat"/>
        <w:jc w:val="both"/>
      </w:pPr>
      <w:r>
        <w:t>именуемый (именуемая) в дальнейшем "заказчи</w:t>
      </w:r>
      <w:r>
        <w:t>к", ____________________________</w:t>
      </w:r>
    </w:p>
    <w:p w:rsidR="00D96E1B" w:rsidRDefault="00DA4562">
      <w:pPr>
        <w:pStyle w:val="ConsPlusNonformat"/>
        <w:jc w:val="both"/>
      </w:pPr>
      <w:r>
        <w:t xml:space="preserve">                                                   (реквизиты документа,</w:t>
      </w:r>
    </w:p>
    <w:p w:rsidR="00D96E1B" w:rsidRDefault="00DA4562">
      <w:pPr>
        <w:pStyle w:val="ConsPlusNonformat"/>
        <w:jc w:val="both"/>
      </w:pPr>
      <w:r>
        <w:t xml:space="preserve">                                                 удостоверяющего личность</w:t>
      </w:r>
    </w:p>
    <w:p w:rsidR="00D96E1B" w:rsidRDefault="00DA4562">
      <w:pPr>
        <w:pStyle w:val="ConsPlusNonformat"/>
        <w:jc w:val="both"/>
      </w:pPr>
      <w:r>
        <w:t xml:space="preserve">                                                   гражданина Российской</w:t>
      </w:r>
    </w:p>
    <w:p w:rsidR="00D96E1B" w:rsidRDefault="00DA4562">
      <w:pPr>
        <w:pStyle w:val="ConsPlusNonformat"/>
        <w:jc w:val="both"/>
      </w:pPr>
      <w:r>
        <w:t xml:space="preserve">   </w:t>
      </w:r>
      <w:r>
        <w:t xml:space="preserve">                                                     Федерации)</w:t>
      </w:r>
    </w:p>
    <w:p w:rsidR="00D96E1B" w:rsidRDefault="00DA4562">
      <w:pPr>
        <w:pStyle w:val="ConsPlusNonformat"/>
        <w:jc w:val="both"/>
      </w:pPr>
      <w:r>
        <w:t>с одной стороны и ________________________________________________________,</w:t>
      </w:r>
    </w:p>
    <w:p w:rsidR="00D96E1B" w:rsidRDefault="00DA4562">
      <w:pPr>
        <w:pStyle w:val="ConsPlusNonformat"/>
        <w:jc w:val="both"/>
      </w:pPr>
      <w:r>
        <w:t xml:space="preserve">                   (полное и/или сокращенное (при наличии) наименование,</w:t>
      </w:r>
    </w:p>
    <w:p w:rsidR="00D96E1B" w:rsidRDefault="00DA4562">
      <w:pPr>
        <w:pStyle w:val="ConsPlusNonformat"/>
        <w:jc w:val="both"/>
      </w:pPr>
      <w:r>
        <w:t xml:space="preserve">                   основной государственный</w:t>
      </w:r>
      <w:r>
        <w:t xml:space="preserve"> регистрационный номер - для</w:t>
      </w:r>
    </w:p>
    <w:p w:rsidR="00D96E1B" w:rsidRDefault="00DA4562">
      <w:pPr>
        <w:pStyle w:val="ConsPlusNonformat"/>
        <w:jc w:val="both"/>
      </w:pPr>
      <w:r>
        <w:t xml:space="preserve">                   юридических лиц; фамилия, имя, отчество (при наличии),</w:t>
      </w:r>
    </w:p>
    <w:p w:rsidR="00D96E1B" w:rsidRDefault="00DA4562">
      <w:pPr>
        <w:pStyle w:val="ConsPlusNonformat"/>
        <w:jc w:val="both"/>
      </w:pPr>
      <w:r>
        <w:t xml:space="preserve">                      идентификационный номер налогоплательщика - для</w:t>
      </w:r>
    </w:p>
    <w:p w:rsidR="00D96E1B" w:rsidRDefault="00DA4562">
      <w:pPr>
        <w:pStyle w:val="ConsPlusNonformat"/>
        <w:jc w:val="both"/>
      </w:pPr>
      <w:r>
        <w:t xml:space="preserve">                             индивидуального предпринимателя)</w:t>
      </w:r>
    </w:p>
    <w:p w:rsidR="00D96E1B" w:rsidRDefault="00DA4562">
      <w:pPr>
        <w:pStyle w:val="ConsPlusNonformat"/>
        <w:jc w:val="both"/>
      </w:pPr>
      <w:r>
        <w:t>именуемое    (именуемый)     в     дальнейшем    "подрядчик",     в    лице</w:t>
      </w:r>
    </w:p>
    <w:p w:rsidR="00D96E1B" w:rsidRDefault="00DA4562">
      <w:pPr>
        <w:pStyle w:val="ConsPlusNonformat"/>
        <w:jc w:val="both"/>
      </w:pPr>
      <w:r>
        <w:t>__________________________________________________________________________,</w:t>
      </w:r>
    </w:p>
    <w:p w:rsidR="00D96E1B" w:rsidRDefault="00DA4562">
      <w:pPr>
        <w:pStyle w:val="ConsPlusNonformat"/>
        <w:jc w:val="both"/>
      </w:pPr>
      <w:r>
        <w:t xml:space="preserve">        (фамилия, имя, отчество (при наличии) - для уполномоченного</w:t>
      </w:r>
    </w:p>
    <w:p w:rsidR="00D96E1B" w:rsidRDefault="00DA4562">
      <w:pPr>
        <w:pStyle w:val="ConsPlusNonformat"/>
        <w:jc w:val="both"/>
      </w:pPr>
      <w:r>
        <w:t xml:space="preserve">                     представителя юридического лица)</w:t>
      </w:r>
    </w:p>
    <w:p w:rsidR="00D96E1B" w:rsidRDefault="00DA4562">
      <w:pPr>
        <w:pStyle w:val="ConsPlusNonformat"/>
        <w:jc w:val="both"/>
      </w:pPr>
      <w:r>
        <w:t>действующего (действующей) на основании ___________________________________</w:t>
      </w:r>
    </w:p>
    <w:p w:rsidR="00D96E1B" w:rsidRDefault="00DA4562">
      <w:pPr>
        <w:pStyle w:val="ConsPlusNonformat"/>
        <w:jc w:val="both"/>
      </w:pPr>
      <w:r>
        <w:t>(уникальный код идентификации (идентификатор) N ________) с другой стороны,</w:t>
      </w:r>
    </w:p>
    <w:p w:rsidR="00D96E1B" w:rsidRDefault="00DA4562">
      <w:pPr>
        <w:pStyle w:val="ConsPlusNonformat"/>
        <w:jc w:val="both"/>
      </w:pPr>
      <w:r>
        <w:t>далее  упоминаемые  по отдельности как "Сторона" и</w:t>
      </w:r>
      <w:r>
        <w:t xml:space="preserve"> совместно как "Стороны",</w:t>
      </w:r>
    </w:p>
    <w:p w:rsidR="00D96E1B" w:rsidRDefault="00DA4562">
      <w:pPr>
        <w:pStyle w:val="ConsPlusNonformat"/>
        <w:jc w:val="both"/>
      </w:pPr>
      <w:r>
        <w:t>во   исполнение   Федерального  закона  от  22  июля  2024  г.  N 186-ФЗ "О</w:t>
      </w:r>
    </w:p>
    <w:p w:rsidR="00D96E1B" w:rsidRDefault="00DA4562">
      <w:pPr>
        <w:pStyle w:val="ConsPlusNonformat"/>
        <w:jc w:val="both"/>
      </w:pPr>
      <w:r>
        <w:t>строительстве   жилых   домов   по   договорам   строительного   подряда  с</w:t>
      </w:r>
    </w:p>
    <w:p w:rsidR="00D96E1B" w:rsidRDefault="00DA4562">
      <w:pPr>
        <w:pStyle w:val="ConsPlusNonformat"/>
        <w:jc w:val="both"/>
      </w:pPr>
      <w:r>
        <w:t>использованием   счетов   эскроу"  (далее  -  Федеральный  закон  N 186-ФЗ)</w:t>
      </w:r>
    </w:p>
    <w:p w:rsidR="00D96E1B" w:rsidRDefault="00DA4562">
      <w:pPr>
        <w:pStyle w:val="ConsPlusNonformat"/>
        <w:jc w:val="both"/>
      </w:pPr>
      <w:r>
        <w:t>за</w:t>
      </w:r>
      <w:r>
        <w:t>ключили настоящий договор строительного подряда, денежные средства в счет</w:t>
      </w:r>
    </w:p>
    <w:p w:rsidR="00D96E1B" w:rsidRDefault="00DA4562">
      <w:pPr>
        <w:pStyle w:val="ConsPlusNonformat"/>
        <w:jc w:val="both"/>
      </w:pPr>
      <w:r>
        <w:t>уплаты   цены   которого   размещаются   заказчиками  на  счетах  эскроу  в</w:t>
      </w:r>
    </w:p>
    <w:p w:rsidR="00D96E1B" w:rsidRDefault="00DA4562">
      <w:pPr>
        <w:pStyle w:val="ConsPlusNonformat"/>
        <w:jc w:val="both"/>
      </w:pPr>
      <w:r>
        <w:t>соответствии   с   Федеральным   законом  N  186-ФЗ  (далее  -  договор), о</w:t>
      </w:r>
    </w:p>
    <w:p w:rsidR="00D96E1B" w:rsidRDefault="00DA4562">
      <w:pPr>
        <w:pStyle w:val="ConsPlusNonformat"/>
        <w:jc w:val="both"/>
      </w:pPr>
      <w:r>
        <w:t>нижеследующем: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r>
        <w:t>I. ПРЕДМЕТ ДОГ</w:t>
      </w:r>
      <w:r>
        <w:t>ОВОРА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1.1. Подрядчик по заданию заказчика в установленный договором срок выполняет строительство жилого дома (далее соответственно - работы, объект) в соответствии с технической документацией (далее - техническая документация), а заказчик создает подрядчи</w:t>
      </w:r>
      <w:r>
        <w:t>ку необходимые условия для выполнения возложенных на него договором обязательств по исполнению работ, принимает их результат и уплачивает обусловленную договором цену.</w:t>
      </w:r>
    </w:p>
    <w:p w:rsidR="00D96E1B" w:rsidRDefault="00DA4562">
      <w:pPr>
        <w:pStyle w:val="ConsPlusNonformat"/>
        <w:spacing w:before="200"/>
        <w:jc w:val="both"/>
      </w:pPr>
      <w:r>
        <w:t xml:space="preserve">    1.2. Подрядчик выполняет работы  на  земельном  участке,  расположенном</w:t>
      </w:r>
    </w:p>
    <w:p w:rsidR="00D96E1B" w:rsidRDefault="00DA4562">
      <w:pPr>
        <w:pStyle w:val="ConsPlusNonformat"/>
        <w:jc w:val="both"/>
      </w:pPr>
      <w:r>
        <w:t>по адресу (о</w:t>
      </w:r>
      <w:r>
        <w:t>писание местоположения): _____________________________________,</w:t>
      </w:r>
    </w:p>
    <w:p w:rsidR="00D96E1B" w:rsidRDefault="00DA4562">
      <w:pPr>
        <w:pStyle w:val="ConsPlusNonformat"/>
        <w:jc w:val="both"/>
      </w:pPr>
      <w:r>
        <w:t>кадастровый номер __________________, общая площадь _______ кв. метров, вид</w:t>
      </w:r>
    </w:p>
    <w:p w:rsidR="00D96E1B" w:rsidRDefault="00DA4562">
      <w:pPr>
        <w:pStyle w:val="ConsPlusNonformat"/>
        <w:jc w:val="both"/>
      </w:pPr>
      <w:r>
        <w:t>разрешенного использования _______________________________________________,</w:t>
      </w:r>
    </w:p>
    <w:p w:rsidR="00D96E1B" w:rsidRDefault="00DA4562">
      <w:pPr>
        <w:pStyle w:val="ConsPlusNonformat"/>
        <w:jc w:val="both"/>
      </w:pPr>
      <w:r>
        <w:t>который принадлежит заказчику на праве _</w:t>
      </w:r>
      <w:r>
        <w:t>__________________________________,</w:t>
      </w:r>
    </w:p>
    <w:p w:rsidR="00D96E1B" w:rsidRDefault="00DA4562">
      <w:pPr>
        <w:pStyle w:val="ConsPlusNonformat"/>
        <w:jc w:val="both"/>
      </w:pPr>
      <w:r>
        <w:t xml:space="preserve">                (указывается вид права на земельный участок: собственность,</w:t>
      </w:r>
    </w:p>
    <w:p w:rsidR="00D96E1B" w:rsidRDefault="00DA4562">
      <w:pPr>
        <w:pStyle w:val="ConsPlusNonformat"/>
        <w:jc w:val="both"/>
      </w:pPr>
      <w:r>
        <w:t xml:space="preserve">                           аренда или безвозмездное пользование)</w:t>
      </w:r>
    </w:p>
    <w:p w:rsidR="00D96E1B" w:rsidRDefault="00DA4562">
      <w:pPr>
        <w:pStyle w:val="ConsPlusNonformat"/>
        <w:jc w:val="both"/>
      </w:pPr>
      <w:r>
        <w:t>что подтверждается ________________________________________________________</w:t>
      </w:r>
    </w:p>
    <w:p w:rsidR="00D96E1B" w:rsidRDefault="00DA4562">
      <w:pPr>
        <w:pStyle w:val="ConsPlusNonformat"/>
        <w:jc w:val="both"/>
      </w:pPr>
      <w:r>
        <w:t xml:space="preserve">                     (наименование и реквизиты документа, подтверждающего</w:t>
      </w:r>
    </w:p>
    <w:p w:rsidR="00D96E1B" w:rsidRDefault="00DA4562">
      <w:pPr>
        <w:pStyle w:val="ConsPlusNonformat"/>
        <w:jc w:val="both"/>
      </w:pPr>
      <w:r>
        <w:t xml:space="preserve">                         право собственности на земельный участок или</w:t>
      </w:r>
    </w:p>
    <w:p w:rsidR="00D96E1B" w:rsidRDefault="00DA4562">
      <w:pPr>
        <w:pStyle w:val="ConsPlusNonformat"/>
        <w:jc w:val="both"/>
      </w:pPr>
      <w:r>
        <w:t xml:space="preserve">                   безвозмездного пользования земельным участком/реквизиты</w:t>
      </w:r>
    </w:p>
    <w:p w:rsidR="00D96E1B" w:rsidRDefault="00DA4562">
      <w:pPr>
        <w:pStyle w:val="ConsPlusNonformat"/>
        <w:jc w:val="both"/>
      </w:pPr>
      <w:r>
        <w:t xml:space="preserve">                              договор</w:t>
      </w:r>
      <w:r>
        <w:t>а аренды земельного участка)</w:t>
      </w:r>
    </w:p>
    <w:p w:rsidR="00D96E1B" w:rsidRDefault="00DA4562">
      <w:pPr>
        <w:pStyle w:val="ConsPlusNonformat"/>
        <w:jc w:val="both"/>
      </w:pPr>
      <w:r>
        <w:t>(далее - земельный участок).</w:t>
      </w:r>
    </w:p>
    <w:p w:rsidR="00D96E1B" w:rsidRDefault="00DA4562">
      <w:pPr>
        <w:pStyle w:val="ConsPlusNormal"/>
        <w:ind w:firstLine="540"/>
        <w:jc w:val="both"/>
      </w:pPr>
      <w:r>
        <w:lastRenderedPageBreak/>
        <w:t>1.3. Стоимость строительства объекта, предусмотренная пунктом 2.1 договора, определяется в смете &lt;1&gt;, &lt;2&gt;.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1.4. Стороны пришли к соглашению, что: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1.4.1. Способом обеспечения оформления права собстве</w:t>
      </w:r>
      <w:r>
        <w:t>нности заказчика на объект является ___________________________________ &lt;3&gt;.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1.4.2. Условием обеспечения оформления права собственности заказчика на объект является ___________________________________ &lt;4&gt;.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 xml:space="preserve">1.5. Состав и содержание технической документации </w:t>
      </w:r>
      <w:r>
        <w:t>на выполнение работ: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1.6. Те</w:t>
      </w:r>
      <w:r>
        <w:t>хническая документация предоставляется подрядчиком для ознакомления заказчику в течение _____ (________) календарных дней со дня подписания договора &lt;5&gt;.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1.7. Техническая документация предоставляется заказчиком подрядчику в течение _____ (________) календа</w:t>
      </w:r>
      <w:r>
        <w:t>рных дней со дня подписания договора &lt;6&gt;.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bookmarkStart w:id="1" w:name="P104"/>
      <w:bookmarkEnd w:id="1"/>
      <w:r>
        <w:t>II. ЦЕНА ДОГОВОРА И ПОРЯДОК ОПЛАТЫ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bookmarkStart w:id="2" w:name="P106"/>
      <w:bookmarkEnd w:id="2"/>
      <w:r>
        <w:t>2.1. Общая стоимость строительства объекта определяется на основании сметы &lt;7&gt; и составляет ______ (________) рублей ____ копеек (далее - цена договора).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2.2. Уплата цены догово</w:t>
      </w:r>
      <w:r>
        <w:t>ра производится в порядке, установленном статьей 6 Федерального закона N 186-ФЗ, путем внесения заказчиком денежных средств на открытый в уполномоченном банке (эскроу-агенте) счет эскроу в течение ______ (________) календарных дней со дня подписания догово</w:t>
      </w:r>
      <w:r>
        <w:t>ра.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2.3. Уплата цены договора осуществляется в том числе за счет средств (части средств) материнского (семейного) капитала в размере ____________ (____________) рублей ___ копеек &lt;8&gt;.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r>
        <w:t>III. ПРАВА И ОБЯЗАННОСТИ СТОРОН. ИСПОЛНЕНИЕ ДОГОВОРА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3.1. Подрядчик обязан: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3.1.1. Выполнить все работы в объемах, сроки и согласно условиям, предусмотренным договором в соответствии с требованиями технической документации.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3.1.2. Обеспечить в течение ______ (________) календарных дней со дня заключения дого</w:t>
      </w:r>
      <w:r>
        <w:t>вора направление и получение уведомления, предусмотренного статьей 51.1 Градостроительного кодекса Российской Федерации &lt;9&gt;.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3.1.3. Обеспечить в течение ______ (________) календарных дней со дня окончания выполнения работ, определенного пунктом 3.5 договор</w:t>
      </w:r>
      <w:r>
        <w:t>а, направление и получение уведомления, предусмотренного статьей 55 Градостроительного кодекса Российской Федерации &lt;10&gt;.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3.1.4. Письменно уведомить заказчика о завершении работ и готовности объекта к приемке в порядке, предусмотренном разделом VII договор</w:t>
      </w:r>
      <w:r>
        <w:t>а.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3.1.5. Обеспечить в течение 14 рабочих дней после подписания Сторонами акта сдачи-приемки работ оформление права собственности заказчика на объект и предоставить заказчику в порядке, предусмотренном разделом VII договора, выписку из Единого государствен</w:t>
      </w:r>
      <w:r>
        <w:t>ного реестра недвижимости, выданную органом регистрации прав, определенным в соответствии с Федеральным законом от 13 июля 2015 г. N 218-ФЗ "О государственной регистрации недвижимости" (далее - выписка из ЕГРН), и удостоверяющую проведенные государственный</w:t>
      </w:r>
      <w:r>
        <w:t xml:space="preserve"> кадастровый учет и государственную регистрацию права собственности заказчика на указанный объект &lt;11&gt;.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lastRenderedPageBreak/>
        <w:t>3.2. Подрядчик вправе: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3.2.1. Требовать от заказчика исполнения обязанностей, предусмотренных статьей 753 Гражданского кодекса Российской Федерации.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3.2.2. Обеспечить направление и (или) получение без доверенности уведомлений, предусмотренных статьями 51.1 и 55 Градостроительного кодекса Российской Федерации, и уведомление заказчика о направлении и (или) получении соответствующих уведомлений &lt;12&gt;.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3.2.</w:t>
      </w:r>
      <w:r>
        <w:t>3. Обеспечить в течение 14 рабочих дней после подписания Сторонами акта сдачи-приемки работ направление в орган регистрации прав без доверенности заявления о государственном кадастровом учете и государственной регистрации права собственности заказчика на ж</w:t>
      </w:r>
      <w:r>
        <w:t>илой дом, построенный в соответствии с договором строительного подряда, с указанием в таком заявлении сведений об адресе электронной почты заказчика и приложением к такому заявлению документов, предусмотренных пунктом 1 части 6 статьи 5 Федерального закона</w:t>
      </w:r>
      <w:r>
        <w:t xml:space="preserve"> N 186-ФЗ, а также предоставление заказчику выписки из Единого государственного реестра недвижимости &lt;13&gt;.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 Заказчик обязан &lt;14&gt;: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3.3.1. Обеспечить подрядчику доступ на земельный участок для выполнения работ в течение ______ (________) календарных дней</w:t>
      </w:r>
      <w:r>
        <w:t xml:space="preserve"> со дня заключения договора.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3.3.2. Уплатить цену договора в порядке и сроки, предусмотренные статьей 6 Федерального закона N 186-ФЗ и разделом II договора.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3.3.3. Обеспечить в течение ______ (________) календарных дней со дня заключения договора направлен</w:t>
      </w:r>
      <w:r>
        <w:t>ие и получение уведомления, предусмотренного статьей 51.1 Градостроительного кодекса Российской Федерации &lt;15&gt;.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3.3.4. Обеспечить в течение ______ (________) календарных дней со дня окончания выполнения работ, определенного пунктом 3.5 договора, направлени</w:t>
      </w:r>
      <w:r>
        <w:t>е и получение уведомления, предусмотренного статьей 55 Градостроительного кодекса Российской Федерации &lt;16&gt;.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3.3.5. Обеспечить оформление права собственности на объект в течение 14 дней &lt;17&gt;.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3.3.6. В течение 14 рабочих дней после подписания Сторонами акта</w:t>
      </w:r>
      <w:r>
        <w:t xml:space="preserve"> сдачи-приемки работ предоставить подрядчику в порядке, предусмотренном разделом VII договора, выписку из ЕГРН &lt;18&gt;.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3.3.7. В случае отказа от исполнения договора в соответствии со статьей 731 Гражданского кодекса Российской Федерации уведомить о таком отк</w:t>
      </w:r>
      <w:r>
        <w:t>азе уполномоченный банк (эскроу-агента) в течение ______ (________) календарных дней со дня расторжения договора &lt;19&gt;.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3.3.8. Обеспечить открытие счета эскроу в уполномоченном банке, предоставившем целевой кредит подрядчику на строительство объекта, осущес</w:t>
      </w:r>
      <w:r>
        <w:t>твляемое в соответствии с Федеральным законом N 186-ФЗ &lt;20&gt;.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 xml:space="preserve">3.3.9. Самостоятельно приобрести </w:t>
      </w:r>
      <w:proofErr w:type="spellStart"/>
      <w:r>
        <w:t>домокомплект</w:t>
      </w:r>
      <w:proofErr w:type="spellEnd"/>
      <w:r>
        <w:t xml:space="preserve"> у производителя </w:t>
      </w:r>
      <w:proofErr w:type="spellStart"/>
      <w:r>
        <w:t>домокомплектов</w:t>
      </w:r>
      <w:proofErr w:type="spellEnd"/>
      <w:r>
        <w:t xml:space="preserve"> и обеспечить его передачу подрядчику в течение ______ (________) календарных дней со дня заключения договора &lt;21&gt;.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3.4</w:t>
      </w:r>
      <w:r>
        <w:t>. Заказчик вправе: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3.4.1. Осуществлять контроль и надзор за ходом и качеством выполняемых работ, соблюдением сроков их выполнения (графика), качеством предоставленных подрядчиком материалов, а также правильностью использования подрядчиком материалов заказч</w:t>
      </w:r>
      <w:r>
        <w:t>ика, не вмешиваясь при этом в оперативно-хозяйственную деятельность подрядчика (в том числе посредством направления запроса о ходе и состоянии выполняемых работ в порядке, предусмотренном разделом VII договора).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3.4.2. В одностороннем порядке отказаться от</w:t>
      </w:r>
      <w:r>
        <w:t xml:space="preserve"> исполнения договора в случаях, предусмотренных в разделе VI договора.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 xml:space="preserve">3.4.3. В случае обнаружения при приемке работ недостатков потребовать от подрядчика безвозмездного устранения выявленных недостатков (если иное не предусмотрено законодательством </w:t>
      </w:r>
      <w:r>
        <w:lastRenderedPageBreak/>
        <w:t>Россий</w:t>
      </w:r>
      <w:r>
        <w:t>ской Федерации).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3.4.4. В случае получения подрядчиком уведомления, предусмотренного частью 10 статьи 51.1</w:t>
      </w:r>
      <w:r>
        <w:t xml:space="preserve"> Градостроительного кодекса Российской Федерации (далее - уведомление о несоответствии), и </w:t>
      </w:r>
      <w:proofErr w:type="spellStart"/>
      <w:r>
        <w:t>неустранения</w:t>
      </w:r>
      <w:proofErr w:type="spellEnd"/>
      <w:r>
        <w:t xml:space="preserve"> подрядчиком в течение ______ (________) календарных дней со дня получения такого уведомления оснований, ввиду которых оно получено, отказаться от исполн</w:t>
      </w:r>
      <w:r>
        <w:t>ения договора в одностороннем порядке (если иное не предусмотрено законодательством Российской Федерации).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3.4.5. В случае досрочного выполнения работ подрядчиком обеспечить досрочное принятие выполненных работ.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3" w:name="P138"/>
      <w:bookmarkEnd w:id="3"/>
      <w:r>
        <w:t>3.5. Работы выполняются в следующие сроки: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а</w:t>
      </w:r>
      <w:r>
        <w:t>) начало выполнения работ - _____________ 20__ года;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б) окончание выполнения работ - _____________ 20__ года &lt;22&gt;.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r>
        <w:t>IV. ПОРЯДОК СДАЧИ И ПРИЕМКИ РЕЗУЛЬТАТА РАБОТ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4.1. Приемка результата выполненных работ осуществляется после выполнения Сторонами всех обяза</w:t>
      </w:r>
      <w:r>
        <w:t>тельств, предусмотренных договором.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4.2. Приемка результата работ оформляется актом сдачи-приемки работ, подписываемым подрядчиком и заказчиком, либо их уполномоченными представителями, в трех экземплярах: по одному для каждой из Сторон и один для уполномо</w:t>
      </w:r>
      <w:r>
        <w:t>ченного банка (эскроу-агента).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4.3. По завершении работ заказчик в согласованный с подрядчиком срок, но не позднее ______ (________) календарных дней со дня получения сообщения подрядчика о готовности к сдаче результата выполненных по договору работ и с уч</w:t>
      </w:r>
      <w:r>
        <w:t>астием подрядчика осуществляет осмотр результата (результатов) работ. При отсутствии замечаний заказчик принимает результаты работ путем подписания акта сдачи-приемки работ. При наличии замечаний к результатам работ заказчик вправе отказаться от подписания</w:t>
      </w:r>
      <w:r>
        <w:t xml:space="preserve"> акта сдачи-приемки работ, предоставив свои мотивированные замечания.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4.4. При обнаружении недостатков в ходе принятия работ заказчик вправе ссылаться на них в случаях, если в акте сдачи-приемки работ были оговорены эти недостатки либо возможность последую</w:t>
      </w:r>
      <w:r>
        <w:t>щего предъявления требования об их устранении.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4.5. Заказчик, обнаруживший после приемки работ отступления в них от договора или иные недостатки, которые не могли быть установлены при обычном способе приемки (скрытые недостатки), в том числе такие, которые</w:t>
      </w:r>
      <w:r>
        <w:t xml:space="preserve"> были умышленно скрыты подрядчиком, обязан известить об этом подрядчика в разумный срок по их обнаружении.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4.6. Если уклонение заказчика от принятия выполненной работы повлекло за собой просрочку в сдаче работы, риск случайной гибели объекта признается пер</w:t>
      </w:r>
      <w:r>
        <w:t>ешедшим к заказчику в момент, когда передача вещи должна была состояться.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r>
        <w:t>V. ГАРАНТИИ КАЧЕСТВА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bookmarkStart w:id="4" w:name="P153"/>
      <w:bookmarkEnd w:id="4"/>
      <w:r>
        <w:t>5.1. Гарантийный срок нормальной эксплуатации результата работ устанавливается в соответствии с законодательством Российской Федерации. Течение гарантийного ср</w:t>
      </w:r>
      <w:r>
        <w:t>ока начинается со дня приемки результата работ заказчиком.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5.2. Если в течение гарантийного срока, указанного в пункте 5.1 договора, обнаружатся дефекты, допущенные по вине подрядчика, то подрядчик обязан их устранить за свой счет и в согласованные с заказ</w:t>
      </w:r>
      <w:r>
        <w:t xml:space="preserve">чиком сроки. Для участия в составлении акта, фиксирующего дефекты, согласования порядка и сроков их устранения подрядчик обязан направить своего уполномоченного представителя не позднее ______ (________) рабочих дней со дня получения письменного извещения </w:t>
      </w:r>
      <w:r>
        <w:t>заказчика об обнаружении таких дефектов. 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5.3. Указанные гарантии не распространяются на случа</w:t>
      </w:r>
      <w:r>
        <w:t>и умышленного повреждения объекта со стороны заказчика и третьих лиц.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bookmarkStart w:id="5" w:name="P157"/>
      <w:bookmarkEnd w:id="5"/>
      <w:r>
        <w:t>VI. РАСТОРЖЕНИЕ ДОГОВОРА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6.1. 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</w:t>
      </w:r>
      <w:r>
        <w:t>рации и договором.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6.2. Заказчик вправе в одностороннем порядке отказаться от исполнения договора и потребовать от подрядчика возмещения убытков в случаях: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а) если подрядчик не приступает своевременно к исполнению договора или выполняет работы настолько ме</w:t>
      </w:r>
      <w:r>
        <w:t>дленно, что окончание работ к сроку становится явно невозможным;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б) по иным основаниям, предусмотренным договором или законодательством Российской Федерации.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bookmarkStart w:id="6" w:name="P164"/>
      <w:bookmarkEnd w:id="6"/>
      <w:r>
        <w:t>VII. ПОРЯДОК ВЗАИМОДЕЙСТВИЯ СТОРОН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7.1. Обмен информацией и документами, предусмотренными договором, осуществляется посредством электронных сообщений, направляемых: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заказчику по электронному адресу: ____________________________;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подрядчику по электронному адресу: ___________________________</w:t>
      </w:r>
      <w:r>
        <w:t>_.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7.2. Отказ от исполнения договора в одностороннем порядке производится посредством направления другой Стороне письменного уведомления. Договор считается прекращенным по истечении 7 (семи) календарных дней со дня получения другой Стороной соответствующег</w:t>
      </w:r>
      <w:r>
        <w:t>о уведомления. Дата получения Стороной-адресатом уведомления об одностороннем отказе определяется в соответствии со статьей 165.1 Гражданского кодекса Российской Федерации.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r>
        <w:t>VIII. ЗАКЛЮЧИТЕЛЬНЫЕ ПОЛОЖЕНИЯ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8.1. Все споры, разногласия или требования, возник</w:t>
      </w:r>
      <w:r>
        <w:t>ающие из договора или в связи с ним, решаются Сторонами путем переговоров. Если Стороны не могут прийти к соглашению в течение _____ дней с момента возникновения спора, каждая Сторона имеет право обратиться в суд для разрешения спора.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8.2. Договор составле</w:t>
      </w:r>
      <w:r>
        <w:t>н в трех экземплярах, имеющих одинаковую юридическую силу, по одному экземпляру для каждой Стороны договора и уполномоченного банка (эскроу-агента).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8.3. Приложения к договору являются неотъемлемой его частью.</w:t>
      </w:r>
    </w:p>
    <w:p w:rsidR="00D96E1B" w:rsidRDefault="00DA4562">
      <w:pPr>
        <w:pStyle w:val="ConsPlusNormal"/>
        <w:spacing w:before="200"/>
        <w:ind w:firstLine="540"/>
        <w:jc w:val="both"/>
      </w:pPr>
      <w:r>
        <w:t>8.4. Все изменения и дополнения оформляются до</w:t>
      </w:r>
      <w:r>
        <w:t>полнительными соглашениями Сторон в письменной форме и являются неотъемлемой частью договора.</w:t>
      </w:r>
    </w:p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jc w:val="center"/>
        <w:outlineLvl w:val="1"/>
      </w:pPr>
      <w:r>
        <w:t>IX. РЕКВИЗИТЫ И ПОДПИСИ СТОРОН</w:t>
      </w:r>
    </w:p>
    <w:p w:rsidR="00D96E1B" w:rsidRDefault="00D96E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225"/>
        <w:gridCol w:w="3184"/>
        <w:gridCol w:w="340"/>
        <w:gridCol w:w="614"/>
        <w:gridCol w:w="340"/>
        <w:gridCol w:w="329"/>
        <w:gridCol w:w="1319"/>
        <w:gridCol w:w="1814"/>
      </w:tblGrid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A4562">
            <w:pPr>
              <w:pStyle w:val="ConsPlusNormal"/>
            </w:pPr>
            <w:r>
              <w:t>ЗАКАЗЧИК: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4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E1B" w:rsidRDefault="00DA4562">
            <w:pPr>
              <w:pStyle w:val="ConsPlusNormal"/>
              <w:jc w:val="right"/>
            </w:pPr>
            <w:r>
              <w:t>ПОДРЯДЧИК:</w:t>
            </w: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Фамилия, имя, отчество (при наличии): __________________________________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44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E1B" w:rsidRDefault="00DA4562">
            <w:pPr>
              <w:pStyle w:val="ConsPlusNormal"/>
            </w:pPr>
            <w:r>
              <w:t>Полное наименование юридического лица (фамилия, имя, отчество (при наличии) индивидуального предпринимателя): ___________________</w:t>
            </w:r>
          </w:p>
        </w:tc>
      </w:tr>
      <w:tr w:rsidR="00D96E1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Адрес: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44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</w:tr>
      <w:tr w:rsidR="00D96E1B">
        <w:trPr>
          <w:trHeight w:val="230"/>
        </w:trPr>
        <w:tc>
          <w:tcPr>
            <w:tcW w:w="4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Данные документа, удостоверяющего личность: 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44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Адрес: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Телефон: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Телефон: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Адрес электронной почты (при наличии): 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4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Адрес электронной почты (при наличии): __________________________</w:t>
            </w: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ОГРН: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ИНН: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КПП: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Р/с: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К/с: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  <w:tr w:rsidR="00D96E1B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E1B" w:rsidRDefault="00D96E1B">
            <w:pPr>
              <w:pStyle w:val="ConsPlusNormal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E1B" w:rsidRDefault="00DA4562">
            <w:pPr>
              <w:pStyle w:val="ConsPlusNormal"/>
            </w:pPr>
            <w:r>
              <w:t>БИК: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E1B" w:rsidRDefault="00D96E1B">
            <w:pPr>
              <w:pStyle w:val="ConsPlusNormal"/>
            </w:pPr>
          </w:p>
        </w:tc>
      </w:tr>
    </w:tbl>
    <w:p w:rsidR="00D96E1B" w:rsidRDefault="00D96E1B">
      <w:pPr>
        <w:pStyle w:val="ConsPlusNormal"/>
        <w:jc w:val="both"/>
      </w:pPr>
    </w:p>
    <w:p w:rsidR="00D96E1B" w:rsidRDefault="00DA4562">
      <w:pPr>
        <w:pStyle w:val="ConsPlusNormal"/>
        <w:ind w:firstLine="540"/>
        <w:jc w:val="both"/>
      </w:pPr>
      <w:r>
        <w:t>--------------------------------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7" w:name="P219"/>
      <w:bookmarkEnd w:id="7"/>
      <w:r>
        <w:t>&lt;1&gt; Является приложением к договору.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8" w:name="P220"/>
      <w:bookmarkEnd w:id="8"/>
      <w:r>
        <w:t xml:space="preserve">&lt;2&gt; В случае, предусмотренном частью 4 статьи 5 Федерального закона N 186-ФЗ, стоимость </w:t>
      </w:r>
      <w:proofErr w:type="spellStart"/>
      <w:r>
        <w:t>домокомлекта</w:t>
      </w:r>
      <w:proofErr w:type="spellEnd"/>
      <w:r>
        <w:t xml:space="preserve"> не включается в цену договора.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9" w:name="P221"/>
      <w:bookmarkEnd w:id="9"/>
      <w:r>
        <w:t>&lt;3&gt; Указывается один из способов, предусмотренных пунктом 1 или 2 части 2 статьи 5 Феде</w:t>
      </w:r>
      <w:r>
        <w:t>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0" w:name="P222"/>
      <w:bookmarkEnd w:id="10"/>
      <w:r>
        <w:t>&lt;4&gt; Указывается одно из условий, предусмотренных пунктом 2 части 3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1" w:name="P223"/>
      <w:bookmarkEnd w:id="11"/>
      <w:r>
        <w:t>&lt;5&gt; Указывается в случае, если техническая документация предоставляется подрядчиком.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2" w:name="P224"/>
      <w:bookmarkEnd w:id="12"/>
      <w:r>
        <w:t>&lt;6&gt; Указывается в случае, если техничес</w:t>
      </w:r>
      <w:r>
        <w:t>кая документация предоставляется заказчиком.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3" w:name="P225"/>
      <w:bookmarkEnd w:id="13"/>
      <w:r>
        <w:t xml:space="preserve">&lt;7&gt; В случае, предусмотренном частью 4 статьи 5 Федерального закона N 186-ФЗ, стоимость </w:t>
      </w:r>
      <w:proofErr w:type="spellStart"/>
      <w:r>
        <w:t>домокомлекта</w:t>
      </w:r>
      <w:proofErr w:type="spellEnd"/>
      <w:r>
        <w:t xml:space="preserve"> не включается в цену договора.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4" w:name="P226"/>
      <w:bookmarkEnd w:id="14"/>
      <w:r>
        <w:t>&lt;8&gt; Указывается в случае, предусмотренном частью 9 статьи 5 Федерального закона</w:t>
      </w:r>
      <w:r>
        <w:t xml:space="preserve">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5" w:name="P227"/>
      <w:bookmarkEnd w:id="15"/>
      <w:r>
        <w:t>&lt;9&gt; В случае, предусмотренном пунктом 1 части 2 и частью 5 статьи 5 Федерального закона N 186-ФЗ, а также если договором не предусмотрен способ обеспечения оформления права собственности на объект, указанный в пункте 2 части 2 статьи 5 Федеральн</w:t>
      </w:r>
      <w:r>
        <w:t>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6" w:name="P228"/>
      <w:bookmarkEnd w:id="16"/>
      <w:r>
        <w:t xml:space="preserve">&lt;10&gt; В случае, предусмотренном пунктом 1 части 2 и частью 5 статьи 5 Федерального закона N 186-ФЗ, а также если договором не предусмотрен способ обеспечения оформления права собственности на объект, указанный в пункте 2 части 2 статьи </w:t>
      </w:r>
      <w:r>
        <w:t>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7" w:name="P229"/>
      <w:bookmarkEnd w:id="17"/>
      <w:r>
        <w:t>&lt;11&gt; В случае, если договором предусмотрен способ обеспечения оформления права собственности на объект, указанный в пункте 2 части 2 статьи 5 Федерального закона N 186-ФЗ, и обеспечение оформления права собственности на объе</w:t>
      </w:r>
      <w:r>
        <w:t>кт осуществляется в соответствии с частью 6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8" w:name="P230"/>
      <w:bookmarkEnd w:id="18"/>
      <w:r>
        <w:t>&lt;12&gt; В случае, предусмотренном пунктом 1 части 2 и пунктом 1 части 7 статьи 5 Федерального закона N 186-ФЗ, а также если договором не предусмотрен способ обеспечения оформле</w:t>
      </w:r>
      <w:r>
        <w:t>ния права собственности на объект, указанный в пункте 2 части 2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19" w:name="P231"/>
      <w:bookmarkEnd w:id="19"/>
      <w:r>
        <w:t>&lt;13&gt; В случае, предусмотренном пунктом 2 части 2 и пунктом 2 части 7 статьи 5 Федерального закона N 186-ФЗ, а также если договором не предусмотрен способ</w:t>
      </w:r>
      <w:r>
        <w:t xml:space="preserve"> обеспечения оформления права собственности на объект, указанный в пункте 1 части 2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0" w:name="P232"/>
      <w:bookmarkEnd w:id="20"/>
      <w:r>
        <w:t>&lt;14&gt; В случае, предусмотренном частью 4 статьи 5 Федерального закона N 186-ФЗ, в качестве одной из обязанностей заказчика следует пре</w:t>
      </w:r>
      <w:r>
        <w:t xml:space="preserve">дусмотреть необходимость приобретения им </w:t>
      </w:r>
      <w:proofErr w:type="spellStart"/>
      <w:r>
        <w:t>домокомплекта</w:t>
      </w:r>
      <w:proofErr w:type="spellEnd"/>
      <w:r>
        <w:t xml:space="preserve">, а также предусмотреть в договоре порядок передачи заказчиком </w:t>
      </w:r>
      <w:proofErr w:type="spellStart"/>
      <w:r>
        <w:t>домокомппекта</w:t>
      </w:r>
      <w:proofErr w:type="spellEnd"/>
      <w:r>
        <w:t xml:space="preserve"> подрядчику.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1" w:name="P233"/>
      <w:bookmarkEnd w:id="21"/>
      <w:r>
        <w:t xml:space="preserve">&lt;15&gt; В случае, предусмотренном пунктом 1 части 2 и подпунктом "а" пункта 2 части 3 статьи 5 </w:t>
      </w:r>
      <w:r>
        <w:lastRenderedPageBreak/>
        <w:t>Федерального закона N</w:t>
      </w:r>
      <w:r>
        <w:t xml:space="preserve"> 186-ФЗ, а также если договором не предусмотрен способ обеспечения оформления права собственности на объект, указанный в пункте 2 части 2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2" w:name="P234"/>
      <w:bookmarkEnd w:id="22"/>
      <w:r>
        <w:t>&lt;16&gt; В случае, предусмотренном пунктом 1 части 2 и подпунктом "а" пункта 2 част</w:t>
      </w:r>
      <w:r>
        <w:t>и 3 статьи 5 Федерального закона N 186-ФЗ, а также если договором не предусмотрен способ обеспечения оформления права собственности на объект, указанный в пункте 2 части 2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3" w:name="P235"/>
      <w:bookmarkEnd w:id="23"/>
      <w:r>
        <w:t>&lt;17&gt; В случае, предусмотренном подпунктом "б"</w:t>
      </w:r>
      <w:r>
        <w:t xml:space="preserve"> пункта 2 части 3 статьи 5 Федерального закона N 186-ФЗ, а также если договором не предусмотрен способ обеспечения оформления права собственности на объект, указанный в пункте 1 части 2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4" w:name="P236"/>
      <w:bookmarkEnd w:id="24"/>
      <w:r>
        <w:t>&lt;18&gt; В случае, если на подрядчи</w:t>
      </w:r>
      <w:r>
        <w:t>ка договором не возложена обязанность по обеспечению оформления права собственности на объект.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5" w:name="P237"/>
      <w:bookmarkEnd w:id="25"/>
      <w:r>
        <w:t>&lt;19&gt; Указывается в случае использования средств (части средства) материнского (семейного) капитала, предусмотренном частью 9 статьи 5 Федерального закона N 186-Ф</w:t>
      </w:r>
      <w:r>
        <w:t>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6" w:name="P238"/>
      <w:bookmarkEnd w:id="26"/>
      <w:r>
        <w:t>&lt;20&gt; В случае, если у подрядчика отсутствует целевой кредит на строительство объекта, осуществляемое в соответствии с Федеральным законом N 186-ФЗ, заказчику необходимо обеспечить открытие счета эскроу в уполномоченном банке, в отношении которого Сторон</w:t>
      </w:r>
      <w:r>
        <w:t>ами достигнуто соглашение о размещении денежных средств на указанные цели.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7" w:name="P239"/>
      <w:bookmarkEnd w:id="27"/>
      <w:r>
        <w:t>&lt;21&gt; Указывается в случае, предусмотренном частью 4 статьи 5 Федерального закона N 186-ФЗ.</w:t>
      </w:r>
    </w:p>
    <w:p w:rsidR="00D96E1B" w:rsidRDefault="00DA4562">
      <w:pPr>
        <w:pStyle w:val="ConsPlusNormal"/>
        <w:spacing w:before="200"/>
        <w:ind w:firstLine="540"/>
        <w:jc w:val="both"/>
      </w:pPr>
      <w:bookmarkStart w:id="28" w:name="P240"/>
      <w:bookmarkEnd w:id="28"/>
      <w:r>
        <w:t xml:space="preserve">&lt;22&gt; В соответствии с частью 8 статьи 5 Федерального закона N 186-ФЗ договором могут быть </w:t>
      </w:r>
      <w:r>
        <w:t>предусмотрены промежуточные сроки выполнения работ.</w:t>
      </w:r>
    </w:p>
    <w:p w:rsidR="00D96E1B" w:rsidRDefault="00D96E1B">
      <w:pPr>
        <w:pStyle w:val="ConsPlusNormal"/>
        <w:jc w:val="both"/>
      </w:pPr>
    </w:p>
    <w:p w:rsidR="00D96E1B" w:rsidRDefault="00D96E1B">
      <w:pPr>
        <w:pStyle w:val="ConsPlusNormal"/>
        <w:jc w:val="both"/>
      </w:pPr>
    </w:p>
    <w:p w:rsidR="00D96E1B" w:rsidRDefault="00D96E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6E1B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E1B"/>
    <w:rsid w:val="00D96E1B"/>
    <w:rsid w:val="00D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2588"/>
  <w15:docId w15:val="{AF106E0D-6124-4461-B2AD-89FCBDB2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3061</Words>
  <Characters>17448</Characters>
  <Application>Microsoft Office Word</Application>
  <DocSecurity>0</DocSecurity>
  <Lines>145</Lines>
  <Paragraphs>40</Paragraphs>
  <ScaleCrop>false</ScaleCrop>
  <Company>КонсультантПлюс Версия 4024.00.51</Company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17.01.2025 N 20/пр
"Об утверждении примерной формы договора строительного подряда, денежные средства в счет уплаты цены которого размещаются заказчиками на счетах эскроу в соответствии с Федеральным законом от 22 июля 2024 г. N 186-ФЗ "О строительстве жилых домов по договорам строительного подряда с использованием счетов эскроу"
(Зарегистрировано в Минюсте России 13.02.2025 N 81249)</dc:title>
  <cp:lastModifiedBy>Михальцов Евгений Васильевич</cp:lastModifiedBy>
  <cp:revision>2</cp:revision>
  <dcterms:created xsi:type="dcterms:W3CDTF">2025-02-28T10:28:00Z</dcterms:created>
  <dcterms:modified xsi:type="dcterms:W3CDTF">2025-02-28T10:30:00Z</dcterms:modified>
</cp:coreProperties>
</file>